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April 14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Rob Aiken,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Renee McFarlin, Franz Phillippe, Marijean Remington,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Joe Russo, 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Eric Virkler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Jeremy Evans,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Brian Gladwin, Greg Hart, Dale Rice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Others Present: Michelle Capone, Aviva Gold, Matt Siver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Annual Meeting Planning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Aviva will send a survey to members to see if there is appetite for an in-person Annual Meeting on June 16th, and the committee will discuss the results via email prior to the NCA Board Meeting on April 21.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Board needs to decide in-person vs. virtual at that meeting. No hybrid will be offered.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program will be a peer-to-peer facilitated discussion on moving forward after COVID including at least the following topics: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Workforce: attracting new talent to your business, attracting new talent to the area, retaining workforce, barriers to re-entry into the workforce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New business: developing new markets, attracting new projects, rebuilding old relationships, supply chain issues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Membership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Matt reports renewals are steady. Rob Aiken will reach out to Rob Oram at Skip-Line. Joe Russo will reach out to Scott Sauer at Omniafiltra.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Additional: Renee McFarlin announced she is leaving the area to pursue an opportunity with Capitalize </w:t>
        <w:tab/>
        <w:tab/>
        <w:t xml:space="preserve">Albany. The committee expresses that she will be missed and wishes her well.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May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11:2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-266695</wp:posOffset>
          </wp:positionV>
          <wp:extent cx="7282542" cy="113284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p0LRPDjAYUpooWnrHirA91oGg==">AMUW2mXYgbKqiR8PC4YJ6ABlOZOPeOR3wGboJfiKNemhVroBVgD1xR+VDNLaIwzQAlT3XPRhh301T3Y5yvuewtlel6k2F+Z6MHFOi1GrIW1LHHVE6Vmcpc4LZmCG0RwQxKwJ6fvuYY/2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